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6D78" w:rsidRDefault="002B3553">
      <w:pPr>
        <w:spacing w:line="240" w:lineRule="auto"/>
        <w:jc w:val="center"/>
        <w:rPr>
          <w:b/>
          <w:color w:val="C00000"/>
          <w:sz w:val="40"/>
          <w:szCs w:val="40"/>
        </w:rPr>
      </w:pPr>
      <w:bookmarkStart w:id="0" w:name="_heading=h.gjdgxs" w:colFirst="0" w:colLast="0"/>
      <w:bookmarkEnd w:id="0"/>
      <w:proofErr w:type="spellStart"/>
      <w:r>
        <w:rPr>
          <w:b/>
          <w:color w:val="C00000"/>
          <w:sz w:val="40"/>
          <w:szCs w:val="40"/>
        </w:rPr>
        <w:t>Carmila</w:t>
      </w:r>
      <w:proofErr w:type="spellEnd"/>
      <w:r>
        <w:rPr>
          <w:b/>
          <w:color w:val="C00000"/>
          <w:sz w:val="40"/>
          <w:szCs w:val="40"/>
        </w:rPr>
        <w:t xml:space="preserve"> continúa fomentando el empleo juvenil de la mano de Fundación Adsis</w:t>
      </w:r>
    </w:p>
    <w:p w:rsidR="00DC6D78" w:rsidRDefault="00DC6D78">
      <w:pPr>
        <w:spacing w:line="276" w:lineRule="auto"/>
        <w:rPr>
          <w:rFonts w:ascii="Century Gothic" w:eastAsia="Century Gothic" w:hAnsi="Century Gothic" w:cs="Century Gothic"/>
          <w:b/>
          <w:sz w:val="22"/>
          <w:szCs w:val="22"/>
        </w:rPr>
      </w:pPr>
    </w:p>
    <w:p w:rsidR="00DC6D78" w:rsidRDefault="002B3553">
      <w:pPr>
        <w:spacing w:line="276" w:lineRule="auto"/>
        <w:rPr>
          <w:rFonts w:ascii="Century Gothic" w:eastAsia="Century Gothic" w:hAnsi="Century Gothic" w:cs="Century Gothic"/>
          <w:b/>
          <w:sz w:val="22"/>
          <w:szCs w:val="22"/>
        </w:rPr>
      </w:pPr>
      <w:r>
        <w:rPr>
          <w:rFonts w:ascii="Century Gothic" w:eastAsia="Century Gothic" w:hAnsi="Century Gothic" w:cs="Century Gothic"/>
          <w:b/>
          <w:noProof/>
          <w:sz w:val="22"/>
          <w:szCs w:val="22"/>
          <w:lang w:val="es-ES" w:eastAsia="es-ES"/>
        </w:rPr>
        <w:drawing>
          <wp:inline distT="114300" distB="114300" distL="114300" distR="114300">
            <wp:extent cx="5400675" cy="3292586"/>
            <wp:effectExtent l="0" t="0" r="0" b="0"/>
            <wp:docPr id="14"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7"/>
                    <a:srcRect t="16300"/>
                    <a:stretch>
                      <a:fillRect/>
                    </a:stretch>
                  </pic:blipFill>
                  <pic:spPr>
                    <a:xfrm>
                      <a:off x="0" y="0"/>
                      <a:ext cx="5400675" cy="3292586"/>
                    </a:xfrm>
                    <a:prstGeom prst="rect">
                      <a:avLst/>
                    </a:prstGeom>
                    <a:ln/>
                  </pic:spPr>
                </pic:pic>
              </a:graphicData>
            </a:graphic>
          </wp:inline>
        </w:drawing>
      </w:r>
    </w:p>
    <w:p w:rsidR="00DC6D78" w:rsidRDefault="00DC6D78">
      <w:pPr>
        <w:spacing w:line="276" w:lineRule="auto"/>
        <w:rPr>
          <w:rFonts w:ascii="Century Gothic" w:eastAsia="Century Gothic" w:hAnsi="Century Gothic" w:cs="Century Gothic"/>
          <w:b/>
          <w:sz w:val="22"/>
          <w:szCs w:val="22"/>
        </w:rPr>
      </w:pPr>
    </w:p>
    <w:p w:rsidR="00DC6D78" w:rsidRDefault="002B3553">
      <w:pPr>
        <w:spacing w:line="276" w:lineRule="auto"/>
        <w:rPr>
          <w:rFonts w:ascii="Century Gothic" w:eastAsia="Century Gothic" w:hAnsi="Century Gothic" w:cs="Century Gothic"/>
          <w:sz w:val="22"/>
          <w:szCs w:val="22"/>
        </w:rPr>
      </w:pPr>
      <w:bookmarkStart w:id="1" w:name="_heading=h.1fob9te" w:colFirst="0" w:colLast="0"/>
      <w:bookmarkEnd w:id="1"/>
      <w:r>
        <w:rPr>
          <w:rFonts w:ascii="Century Gothic" w:eastAsia="Century Gothic" w:hAnsi="Century Gothic" w:cs="Century Gothic"/>
          <w:b/>
          <w:sz w:val="22"/>
          <w:szCs w:val="22"/>
        </w:rPr>
        <w:t>Madrid, 7 de noviembre de 2022.</w:t>
      </w:r>
      <w:r>
        <w:rPr>
          <w:rFonts w:ascii="Century Gothic" w:eastAsia="Century Gothic" w:hAnsi="Century Gothic" w:cs="Century Gothic"/>
          <w:sz w:val="22"/>
          <w:szCs w:val="22"/>
        </w:rPr>
        <w:t xml:space="preserve"> En España, más de dos millones de jóvenes se encuentran en situación de exclusión social, según un estudio realizado por FOESSA. Así, con el objetivo de luchar contra esta problemática, </w:t>
      </w:r>
      <w:proofErr w:type="spellStart"/>
      <w:r>
        <w:rPr>
          <w:rFonts w:ascii="Century Gothic" w:eastAsia="Century Gothic" w:hAnsi="Century Gothic" w:cs="Century Gothic"/>
          <w:sz w:val="22"/>
          <w:szCs w:val="22"/>
        </w:rPr>
        <w:t>Carmila</w:t>
      </w:r>
      <w:proofErr w:type="spellEnd"/>
      <w:r>
        <w:rPr>
          <w:rFonts w:ascii="Century Gothic" w:eastAsia="Century Gothic" w:hAnsi="Century Gothic" w:cs="Century Gothic"/>
          <w:sz w:val="22"/>
          <w:szCs w:val="22"/>
        </w:rPr>
        <w:t xml:space="preserve"> se ha unido a Fundación Adsis, ONG que desde hace más de 25 años fomenta la inclusión de jóvenes con dificultades. De esta forma, ambas entidades pretenden facilitar el acceso a formación y empleo de estas personas en materia de venta al detalle, usando los 79 centros que </w:t>
      </w:r>
      <w:proofErr w:type="spellStart"/>
      <w:r>
        <w:rPr>
          <w:rFonts w:ascii="Century Gothic" w:eastAsia="Century Gothic" w:hAnsi="Century Gothic" w:cs="Century Gothic"/>
          <w:sz w:val="22"/>
          <w:szCs w:val="22"/>
        </w:rPr>
        <w:t>Carmila</w:t>
      </w:r>
      <w:proofErr w:type="spellEnd"/>
      <w:r>
        <w:rPr>
          <w:rFonts w:ascii="Century Gothic" w:eastAsia="Century Gothic" w:hAnsi="Century Gothic" w:cs="Century Gothic"/>
          <w:sz w:val="22"/>
          <w:szCs w:val="22"/>
        </w:rPr>
        <w:t xml:space="preserve"> gestiona como palanca.</w:t>
      </w:r>
    </w:p>
    <w:p w:rsidR="00DC6D78" w:rsidRDefault="00DC6D78">
      <w:pPr>
        <w:spacing w:line="276" w:lineRule="auto"/>
        <w:rPr>
          <w:rFonts w:ascii="Century Gothic" w:eastAsia="Century Gothic" w:hAnsi="Century Gothic" w:cs="Century Gothic"/>
          <w:sz w:val="22"/>
          <w:szCs w:val="22"/>
        </w:rPr>
      </w:pPr>
    </w:p>
    <w:p w:rsidR="00DC6D78" w:rsidRDefault="002B3553">
      <w:pPr>
        <w:spacing w:line="276" w:lineRule="auto"/>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Este acuerdo está dividido en varias fases. La primera, se centra en la formación, y la segunda, está dirigida a la realización de prácticas profesionales, siendo complementada por otras acciones de sensibilización y voluntariado de los empleados y empleadas de </w:t>
      </w:r>
      <w:proofErr w:type="spellStart"/>
      <w:r>
        <w:rPr>
          <w:rFonts w:ascii="Century Gothic" w:eastAsia="Century Gothic" w:hAnsi="Century Gothic" w:cs="Century Gothic"/>
          <w:sz w:val="22"/>
          <w:szCs w:val="22"/>
        </w:rPr>
        <w:t>Carmila</w:t>
      </w:r>
      <w:proofErr w:type="spellEnd"/>
      <w:r>
        <w:rPr>
          <w:rFonts w:ascii="Century Gothic" w:eastAsia="Century Gothic" w:hAnsi="Century Gothic" w:cs="Century Gothic"/>
          <w:sz w:val="22"/>
          <w:szCs w:val="22"/>
        </w:rPr>
        <w:t xml:space="preserve">. </w:t>
      </w:r>
    </w:p>
    <w:p w:rsidR="00DC6D78" w:rsidRDefault="00DC6D78">
      <w:pPr>
        <w:spacing w:line="276" w:lineRule="auto"/>
        <w:rPr>
          <w:rFonts w:ascii="Century Gothic" w:eastAsia="Century Gothic" w:hAnsi="Century Gothic" w:cs="Century Gothic"/>
          <w:sz w:val="22"/>
          <w:szCs w:val="22"/>
        </w:rPr>
      </w:pPr>
    </w:p>
    <w:p w:rsidR="00DC6D78" w:rsidRDefault="002B3553">
      <w:pPr>
        <w:spacing w:line="276" w:lineRule="auto"/>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En concreto, se llevarán a cabo dos grupos de formación impartidos por Fundación Adsis, uno en Madrid y otro en Barcelona, a través de los cuales mejorarán sus competencias. Las formaciones abarcan diferentes áreas de acción que pretenden potenciar las habilidades comerciales del alumnado. Estas se diferencian entre competencias básicas, y técnicas, ofreciendo así una formación completa y dinámica que prepara a sus asistentes para la venta al detalle.  </w:t>
      </w:r>
    </w:p>
    <w:p w:rsidR="00F468AA" w:rsidRDefault="00F468AA">
      <w:pPr>
        <w:spacing w:line="276" w:lineRule="auto"/>
        <w:rPr>
          <w:rFonts w:ascii="Century Gothic" w:eastAsia="Century Gothic" w:hAnsi="Century Gothic" w:cs="Century Gothic"/>
          <w:sz w:val="22"/>
          <w:szCs w:val="22"/>
        </w:rPr>
      </w:pPr>
      <w:bookmarkStart w:id="2" w:name="_GoBack"/>
      <w:bookmarkEnd w:id="2"/>
    </w:p>
    <w:p w:rsidR="00DC6D78" w:rsidRDefault="00DC6D78">
      <w:pPr>
        <w:spacing w:line="276" w:lineRule="auto"/>
        <w:rPr>
          <w:rFonts w:ascii="Century Gothic" w:eastAsia="Century Gothic" w:hAnsi="Century Gothic" w:cs="Century Gothic"/>
          <w:sz w:val="22"/>
          <w:szCs w:val="22"/>
        </w:rPr>
      </w:pPr>
    </w:p>
    <w:p w:rsidR="00DC6D78" w:rsidRPr="00091936" w:rsidRDefault="002B3553">
      <w:pPr>
        <w:spacing w:line="276" w:lineRule="auto"/>
      </w:pPr>
      <w:r>
        <w:rPr>
          <w:rFonts w:ascii="Century Gothic" w:eastAsia="Century Gothic" w:hAnsi="Century Gothic" w:cs="Century Gothic"/>
          <w:sz w:val="22"/>
          <w:szCs w:val="22"/>
        </w:rPr>
        <w:t xml:space="preserve">Una vez concluida la formación teórica, operadores de la inmobiliaria facilitarán tutela y formación a los y las jóvenes en los períodos de prácticas definidos al efecto. Los operadores podrán recurrir a la Fundación Adsis y a sus servicios de intermediación para incorporar personas en prácticas o incluso contratar nuevos perfiles. De esta forma, </w:t>
      </w:r>
      <w:proofErr w:type="spellStart"/>
      <w:r>
        <w:rPr>
          <w:rFonts w:ascii="Century Gothic" w:eastAsia="Century Gothic" w:hAnsi="Century Gothic" w:cs="Century Gothic"/>
          <w:sz w:val="22"/>
          <w:szCs w:val="22"/>
        </w:rPr>
        <w:t>Carmila</w:t>
      </w:r>
      <w:proofErr w:type="spellEnd"/>
      <w:r>
        <w:rPr>
          <w:rFonts w:ascii="Century Gothic" w:eastAsia="Century Gothic" w:hAnsi="Century Gothic" w:cs="Century Gothic"/>
          <w:sz w:val="22"/>
          <w:szCs w:val="22"/>
        </w:rPr>
        <w:t xml:space="preserve"> y Fundación Adsis ajustarán los programas formativos a las necesidades de los comerciantes de la inmobiliaria.</w:t>
      </w:r>
      <w:r>
        <w:t xml:space="preserve"> </w:t>
      </w:r>
    </w:p>
    <w:p w:rsidR="00DC6D78" w:rsidRDefault="00DC6D78">
      <w:pPr>
        <w:spacing w:line="276" w:lineRule="auto"/>
        <w:rPr>
          <w:rFonts w:ascii="Century Gothic" w:eastAsia="Century Gothic" w:hAnsi="Century Gothic" w:cs="Century Gothic"/>
          <w:sz w:val="22"/>
          <w:szCs w:val="22"/>
        </w:rPr>
      </w:pPr>
    </w:p>
    <w:p w:rsidR="00DC6D78" w:rsidRDefault="002B3553">
      <w:pPr>
        <w:spacing w:line="276" w:lineRule="auto"/>
        <w:rPr>
          <w:rFonts w:ascii="Century Gothic" w:eastAsia="Century Gothic" w:hAnsi="Century Gothic" w:cs="Century Gothic"/>
          <w:sz w:val="22"/>
          <w:szCs w:val="22"/>
        </w:rPr>
      </w:pPr>
      <w:bookmarkStart w:id="3" w:name="_heading=h.f21a3ggzx8nm" w:colFirst="0" w:colLast="0"/>
      <w:bookmarkEnd w:id="3"/>
      <w:r>
        <w:rPr>
          <w:rFonts w:ascii="Century Gothic" w:eastAsia="Century Gothic" w:hAnsi="Century Gothic" w:cs="Century Gothic"/>
          <w:sz w:val="22"/>
          <w:szCs w:val="22"/>
        </w:rPr>
        <w:t xml:space="preserve">Por otro lado, de cara a las siguientes fases de la colaboración, </w:t>
      </w:r>
      <w:proofErr w:type="spellStart"/>
      <w:r>
        <w:rPr>
          <w:rFonts w:ascii="Century Gothic" w:eastAsia="Century Gothic" w:hAnsi="Century Gothic" w:cs="Century Gothic"/>
          <w:sz w:val="22"/>
          <w:szCs w:val="22"/>
        </w:rPr>
        <w:t>Carmila</w:t>
      </w:r>
      <w:proofErr w:type="spellEnd"/>
      <w:r>
        <w:rPr>
          <w:rFonts w:ascii="Century Gothic" w:eastAsia="Century Gothic" w:hAnsi="Century Gothic" w:cs="Century Gothic"/>
          <w:sz w:val="22"/>
          <w:szCs w:val="22"/>
        </w:rPr>
        <w:t xml:space="preserve"> involucrará a los propios empleados y comerciantes de los centros, a través de mini talleres de capacitación, destinados a los y las jóvenes participantes, que impartirán colaboradores de </w:t>
      </w:r>
      <w:proofErr w:type="spellStart"/>
      <w:r>
        <w:rPr>
          <w:rFonts w:ascii="Century Gothic" w:eastAsia="Century Gothic" w:hAnsi="Century Gothic" w:cs="Century Gothic"/>
          <w:sz w:val="22"/>
          <w:szCs w:val="22"/>
        </w:rPr>
        <w:t>Carmila</w:t>
      </w:r>
      <w:proofErr w:type="spellEnd"/>
      <w:r>
        <w:rPr>
          <w:rFonts w:ascii="Century Gothic" w:eastAsia="Century Gothic" w:hAnsi="Century Gothic" w:cs="Century Gothic"/>
          <w:sz w:val="22"/>
          <w:szCs w:val="22"/>
        </w:rPr>
        <w:t xml:space="preserve"> y permitirán a ambos colectivos interrelacionarse y generar sinergias. </w:t>
      </w:r>
    </w:p>
    <w:p w:rsidR="00DC6D78" w:rsidRDefault="00DC6D78">
      <w:pPr>
        <w:spacing w:line="276" w:lineRule="auto"/>
        <w:rPr>
          <w:rFonts w:ascii="Century Gothic" w:eastAsia="Century Gothic" w:hAnsi="Century Gothic" w:cs="Century Gothic"/>
          <w:sz w:val="22"/>
          <w:szCs w:val="22"/>
        </w:rPr>
      </w:pPr>
      <w:bookmarkStart w:id="4" w:name="_heading=h.oko1lmiv97v7" w:colFirst="0" w:colLast="0"/>
      <w:bookmarkEnd w:id="4"/>
    </w:p>
    <w:p w:rsidR="00DC6D78" w:rsidRDefault="002B3553">
      <w:pPr>
        <w:spacing w:line="276" w:lineRule="auto"/>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Con esta iniciativa, 24 jóvenes en riesgo de exclusión social podrán acceder al mundo laboral, iniciándose así en una carrera profesional dentro del sector de la venta, con un acompañamiento y asesoramiento integral por parte de ambas entidades. </w:t>
      </w:r>
    </w:p>
    <w:p w:rsidR="00DC6D78" w:rsidRDefault="00DC6D78">
      <w:pPr>
        <w:spacing w:line="276" w:lineRule="auto"/>
        <w:rPr>
          <w:rFonts w:ascii="Century Gothic" w:eastAsia="Century Gothic" w:hAnsi="Century Gothic" w:cs="Century Gothic"/>
          <w:sz w:val="22"/>
          <w:szCs w:val="22"/>
        </w:rPr>
      </w:pPr>
      <w:bookmarkStart w:id="5" w:name="_heading=h.jey113fswi61" w:colFirst="0" w:colLast="0"/>
      <w:bookmarkEnd w:id="5"/>
    </w:p>
    <w:p w:rsidR="00DC6D78" w:rsidRDefault="002B3553">
      <w:pPr>
        <w:spacing w:line="276" w:lineRule="auto"/>
        <w:rPr>
          <w:rFonts w:ascii="Century Gothic" w:eastAsia="Century Gothic" w:hAnsi="Century Gothic" w:cs="Century Gothic"/>
          <w:sz w:val="22"/>
          <w:szCs w:val="22"/>
        </w:rPr>
      </w:pPr>
      <w:bookmarkStart w:id="6" w:name="_heading=h.2nvj6gpxh7bw" w:colFirst="0" w:colLast="0"/>
      <w:bookmarkEnd w:id="6"/>
      <w:r>
        <w:rPr>
          <w:rFonts w:ascii="Century Gothic" w:eastAsia="Century Gothic" w:hAnsi="Century Gothic" w:cs="Century Gothic"/>
          <w:sz w:val="22"/>
          <w:szCs w:val="22"/>
        </w:rPr>
        <w:t xml:space="preserve">“En </w:t>
      </w:r>
      <w:proofErr w:type="spellStart"/>
      <w:r>
        <w:rPr>
          <w:rFonts w:ascii="Century Gothic" w:eastAsia="Century Gothic" w:hAnsi="Century Gothic" w:cs="Century Gothic"/>
          <w:sz w:val="22"/>
          <w:szCs w:val="22"/>
        </w:rPr>
        <w:t>Carmila</w:t>
      </w:r>
      <w:proofErr w:type="spellEnd"/>
      <w:r>
        <w:rPr>
          <w:rFonts w:ascii="Century Gothic" w:eastAsia="Century Gothic" w:hAnsi="Century Gothic" w:cs="Century Gothic"/>
          <w:sz w:val="22"/>
          <w:szCs w:val="22"/>
        </w:rPr>
        <w:t>, volcamos todos nuestros esfuerzos en fomentar la inclusión laboral y el apoyo a los colectivos vulnerables. Gracias a esta colaboración con Fundación Adsis, esperamos producir un impacto positivo en la sociedad, fomentando el empleo juvenil e involucrando a nuestros comerciantes en este proceso”, declara Fátima Álvarez-</w:t>
      </w:r>
      <w:proofErr w:type="spellStart"/>
      <w:r>
        <w:rPr>
          <w:rFonts w:ascii="Century Gothic" w:eastAsia="Century Gothic" w:hAnsi="Century Gothic" w:cs="Century Gothic"/>
          <w:sz w:val="22"/>
          <w:szCs w:val="22"/>
        </w:rPr>
        <w:t>Cofiño</w:t>
      </w:r>
      <w:proofErr w:type="spellEnd"/>
      <w:r>
        <w:rPr>
          <w:rFonts w:ascii="Century Gothic" w:eastAsia="Century Gothic" w:hAnsi="Century Gothic" w:cs="Century Gothic"/>
          <w:sz w:val="22"/>
          <w:szCs w:val="22"/>
        </w:rPr>
        <w:t xml:space="preserve">, Coordinadora de ASG de </w:t>
      </w:r>
      <w:proofErr w:type="spellStart"/>
      <w:r>
        <w:rPr>
          <w:rFonts w:ascii="Century Gothic" w:eastAsia="Century Gothic" w:hAnsi="Century Gothic" w:cs="Century Gothic"/>
          <w:sz w:val="22"/>
          <w:szCs w:val="22"/>
        </w:rPr>
        <w:t>Carmila</w:t>
      </w:r>
      <w:proofErr w:type="spellEnd"/>
      <w:r>
        <w:rPr>
          <w:rFonts w:ascii="Century Gothic" w:eastAsia="Century Gothic" w:hAnsi="Century Gothic" w:cs="Century Gothic"/>
          <w:sz w:val="22"/>
          <w:szCs w:val="22"/>
        </w:rPr>
        <w:t xml:space="preserve"> España.</w:t>
      </w:r>
    </w:p>
    <w:p w:rsidR="00DC6D78" w:rsidRDefault="00DC6D78">
      <w:pPr>
        <w:spacing w:line="276" w:lineRule="auto"/>
        <w:rPr>
          <w:rFonts w:ascii="Century Gothic" w:eastAsia="Century Gothic" w:hAnsi="Century Gothic" w:cs="Century Gothic"/>
          <w:sz w:val="22"/>
          <w:szCs w:val="22"/>
        </w:rPr>
      </w:pPr>
    </w:p>
    <w:p w:rsidR="00DC6D78" w:rsidRDefault="002B3553">
      <w:pPr>
        <w:spacing w:line="276" w:lineRule="auto"/>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“Esta alianza es una gran oportunidad para las personas a las que acompañamos ya que les abre las puertas al empleo para que puedan mejorar sus vidas. La confianza que </w:t>
      </w:r>
      <w:proofErr w:type="spellStart"/>
      <w:r>
        <w:rPr>
          <w:rFonts w:ascii="Century Gothic" w:eastAsia="Century Gothic" w:hAnsi="Century Gothic" w:cs="Century Gothic"/>
          <w:sz w:val="22"/>
          <w:szCs w:val="22"/>
        </w:rPr>
        <w:t>Carmila</w:t>
      </w:r>
      <w:proofErr w:type="spellEnd"/>
      <w:r>
        <w:rPr>
          <w:rFonts w:ascii="Century Gothic" w:eastAsia="Century Gothic" w:hAnsi="Century Gothic" w:cs="Century Gothic"/>
          <w:sz w:val="22"/>
          <w:szCs w:val="22"/>
        </w:rPr>
        <w:t xml:space="preserve"> ha depositado en ellas es muy importante para que puedan desarrollarse tanto personal como profesionalmente”, señala Jesús Garcia, director de programas de Acción Social de Fundación Adsis. </w:t>
      </w:r>
    </w:p>
    <w:p w:rsidR="00DC6D78" w:rsidRDefault="00DC6D78">
      <w:pPr>
        <w:spacing w:line="276" w:lineRule="auto"/>
        <w:rPr>
          <w:rFonts w:ascii="Century Gothic" w:eastAsia="Century Gothic" w:hAnsi="Century Gothic" w:cs="Century Gothic"/>
          <w:b/>
          <w:sz w:val="22"/>
          <w:szCs w:val="22"/>
        </w:rPr>
      </w:pPr>
      <w:bookmarkStart w:id="7" w:name="_heading=h.k9dyuxnwrxcf" w:colFirst="0" w:colLast="0"/>
      <w:bookmarkEnd w:id="7"/>
    </w:p>
    <w:p w:rsidR="00091936" w:rsidRDefault="00091936">
      <w:pPr>
        <w:spacing w:line="276" w:lineRule="auto"/>
        <w:rPr>
          <w:rFonts w:ascii="Century Gothic" w:eastAsia="Century Gothic" w:hAnsi="Century Gothic" w:cs="Century Gothic"/>
          <w:b/>
          <w:sz w:val="22"/>
          <w:szCs w:val="22"/>
        </w:rPr>
      </w:pPr>
    </w:p>
    <w:p w:rsidR="00F468AA" w:rsidRDefault="00F468AA">
      <w:pPr>
        <w:spacing w:line="276" w:lineRule="auto"/>
        <w:rPr>
          <w:rFonts w:ascii="Century Gothic" w:eastAsia="Century Gothic" w:hAnsi="Century Gothic" w:cs="Century Gothic"/>
          <w:b/>
          <w:sz w:val="22"/>
          <w:szCs w:val="22"/>
        </w:rPr>
      </w:pPr>
    </w:p>
    <w:p w:rsidR="00F468AA" w:rsidRDefault="00F468AA">
      <w:pPr>
        <w:spacing w:line="276" w:lineRule="auto"/>
        <w:rPr>
          <w:rFonts w:ascii="Century Gothic" w:eastAsia="Century Gothic" w:hAnsi="Century Gothic" w:cs="Century Gothic"/>
          <w:b/>
          <w:sz w:val="22"/>
          <w:szCs w:val="22"/>
        </w:rPr>
      </w:pPr>
    </w:p>
    <w:p w:rsidR="00F468AA" w:rsidRDefault="00F468AA">
      <w:pPr>
        <w:spacing w:line="276" w:lineRule="auto"/>
        <w:rPr>
          <w:rFonts w:ascii="Century Gothic" w:eastAsia="Century Gothic" w:hAnsi="Century Gothic" w:cs="Century Gothic"/>
          <w:b/>
          <w:sz w:val="22"/>
          <w:szCs w:val="22"/>
        </w:rPr>
      </w:pPr>
    </w:p>
    <w:p w:rsidR="00F468AA" w:rsidRDefault="00F468AA">
      <w:pPr>
        <w:spacing w:line="276" w:lineRule="auto"/>
        <w:rPr>
          <w:rFonts w:ascii="Century Gothic" w:eastAsia="Century Gothic" w:hAnsi="Century Gothic" w:cs="Century Gothic"/>
          <w:b/>
          <w:sz w:val="22"/>
          <w:szCs w:val="22"/>
        </w:rPr>
      </w:pPr>
    </w:p>
    <w:p w:rsidR="00F468AA" w:rsidRDefault="00F468AA">
      <w:pPr>
        <w:spacing w:line="276" w:lineRule="auto"/>
        <w:rPr>
          <w:rFonts w:ascii="Century Gothic" w:eastAsia="Century Gothic" w:hAnsi="Century Gothic" w:cs="Century Gothic"/>
          <w:b/>
          <w:sz w:val="22"/>
          <w:szCs w:val="22"/>
        </w:rPr>
      </w:pPr>
    </w:p>
    <w:p w:rsidR="00F468AA" w:rsidRDefault="00F468AA">
      <w:pPr>
        <w:spacing w:line="276" w:lineRule="auto"/>
        <w:rPr>
          <w:rFonts w:ascii="Century Gothic" w:eastAsia="Century Gothic" w:hAnsi="Century Gothic" w:cs="Century Gothic"/>
          <w:b/>
          <w:sz w:val="22"/>
          <w:szCs w:val="22"/>
        </w:rPr>
      </w:pPr>
    </w:p>
    <w:p w:rsidR="00F468AA" w:rsidRDefault="00F468AA">
      <w:pPr>
        <w:spacing w:line="276" w:lineRule="auto"/>
        <w:rPr>
          <w:rFonts w:ascii="Century Gothic" w:eastAsia="Century Gothic" w:hAnsi="Century Gothic" w:cs="Century Gothic"/>
          <w:b/>
          <w:sz w:val="22"/>
          <w:szCs w:val="22"/>
        </w:rPr>
      </w:pPr>
    </w:p>
    <w:p w:rsidR="00F468AA" w:rsidRDefault="00F468AA">
      <w:pPr>
        <w:spacing w:line="276" w:lineRule="auto"/>
        <w:rPr>
          <w:rFonts w:ascii="Century Gothic" w:eastAsia="Century Gothic" w:hAnsi="Century Gothic" w:cs="Century Gothic"/>
          <w:b/>
          <w:sz w:val="22"/>
          <w:szCs w:val="22"/>
        </w:rPr>
      </w:pPr>
    </w:p>
    <w:p w:rsidR="00F468AA" w:rsidRDefault="00F468AA">
      <w:pPr>
        <w:spacing w:line="276" w:lineRule="auto"/>
        <w:rPr>
          <w:rFonts w:ascii="Century Gothic" w:eastAsia="Century Gothic" w:hAnsi="Century Gothic" w:cs="Century Gothic"/>
          <w:b/>
          <w:sz w:val="22"/>
          <w:szCs w:val="22"/>
        </w:rPr>
      </w:pPr>
    </w:p>
    <w:p w:rsidR="00F468AA" w:rsidRDefault="00F468AA">
      <w:pPr>
        <w:spacing w:line="276" w:lineRule="auto"/>
        <w:rPr>
          <w:rFonts w:ascii="Century Gothic" w:eastAsia="Century Gothic" w:hAnsi="Century Gothic" w:cs="Century Gothic"/>
          <w:b/>
          <w:sz w:val="22"/>
          <w:szCs w:val="22"/>
        </w:rPr>
      </w:pPr>
    </w:p>
    <w:p w:rsidR="00F468AA" w:rsidRDefault="00F468AA">
      <w:pPr>
        <w:spacing w:line="276" w:lineRule="auto"/>
        <w:rPr>
          <w:rFonts w:ascii="Century Gothic" w:eastAsia="Century Gothic" w:hAnsi="Century Gothic" w:cs="Century Gothic"/>
          <w:b/>
          <w:sz w:val="22"/>
          <w:szCs w:val="22"/>
        </w:rPr>
      </w:pPr>
    </w:p>
    <w:p w:rsidR="00F468AA" w:rsidRDefault="00F468AA">
      <w:pPr>
        <w:spacing w:line="276" w:lineRule="auto"/>
        <w:rPr>
          <w:rFonts w:ascii="Century Gothic" w:eastAsia="Century Gothic" w:hAnsi="Century Gothic" w:cs="Century Gothic"/>
          <w:b/>
          <w:sz w:val="22"/>
          <w:szCs w:val="22"/>
        </w:rPr>
      </w:pPr>
    </w:p>
    <w:p w:rsidR="00DC6D78" w:rsidRDefault="002B3553">
      <w:pPr>
        <w:spacing w:line="240" w:lineRule="auto"/>
        <w:rPr>
          <w:i/>
          <w:sz w:val="19"/>
          <w:szCs w:val="19"/>
        </w:rPr>
      </w:pPr>
      <w:r>
        <w:rPr>
          <w:color w:val="C00000"/>
          <w:sz w:val="28"/>
          <w:szCs w:val="28"/>
        </w:rPr>
        <w:t>***</w:t>
      </w:r>
    </w:p>
    <w:p w:rsidR="00DC6D78" w:rsidRDefault="002B3553">
      <w:pPr>
        <w:pBdr>
          <w:top w:val="nil"/>
          <w:left w:val="nil"/>
          <w:bottom w:val="nil"/>
          <w:right w:val="nil"/>
          <w:between w:val="nil"/>
        </w:pBdr>
        <w:spacing w:line="240" w:lineRule="auto"/>
        <w:jc w:val="left"/>
        <w:rPr>
          <w:color w:val="222222"/>
          <w:sz w:val="24"/>
          <w:szCs w:val="24"/>
        </w:rPr>
      </w:pPr>
      <w:r>
        <w:rPr>
          <w:b/>
          <w:color w:val="D70B00"/>
        </w:rPr>
        <w:t xml:space="preserve">Acerca de </w:t>
      </w:r>
      <w:proofErr w:type="spellStart"/>
      <w:r>
        <w:rPr>
          <w:b/>
          <w:color w:val="D70B00"/>
        </w:rPr>
        <w:t>Carmila</w:t>
      </w:r>
      <w:proofErr w:type="spellEnd"/>
    </w:p>
    <w:p w:rsidR="00DC6D78" w:rsidRDefault="002B3553">
      <w:pPr>
        <w:pBdr>
          <w:top w:val="nil"/>
          <w:left w:val="nil"/>
          <w:bottom w:val="nil"/>
          <w:right w:val="nil"/>
          <w:between w:val="nil"/>
        </w:pBdr>
        <w:spacing w:line="240" w:lineRule="auto"/>
        <w:jc w:val="left"/>
        <w:rPr>
          <w:color w:val="222222"/>
          <w:sz w:val="24"/>
          <w:szCs w:val="24"/>
        </w:rPr>
      </w:pPr>
      <w:r>
        <w:rPr>
          <w:sz w:val="24"/>
          <w:szCs w:val="24"/>
        </w:rPr>
        <w:t> </w:t>
      </w:r>
    </w:p>
    <w:p w:rsidR="00DC6D78" w:rsidRDefault="002B3553">
      <w:pPr>
        <w:pBdr>
          <w:top w:val="nil"/>
          <w:left w:val="nil"/>
          <w:bottom w:val="nil"/>
          <w:right w:val="nil"/>
          <w:between w:val="nil"/>
        </w:pBdr>
        <w:spacing w:line="240" w:lineRule="auto"/>
        <w:rPr>
          <w:i/>
          <w:sz w:val="19"/>
          <w:szCs w:val="19"/>
        </w:rPr>
      </w:pPr>
      <w:r>
        <w:rPr>
          <w:i/>
          <w:sz w:val="19"/>
          <w:szCs w:val="19"/>
        </w:rPr>
        <w:t xml:space="preserve">Como la tercera mayor propiedad de centros comerciales cotizada en Europa continental, </w:t>
      </w:r>
      <w:proofErr w:type="spellStart"/>
      <w:r>
        <w:rPr>
          <w:i/>
          <w:sz w:val="19"/>
          <w:szCs w:val="19"/>
        </w:rPr>
        <w:t>Carmila</w:t>
      </w:r>
      <w:proofErr w:type="spellEnd"/>
      <w:r>
        <w:rPr>
          <w:i/>
          <w:sz w:val="19"/>
          <w:szCs w:val="19"/>
        </w:rPr>
        <w:t xml:space="preserve"> fue creada por Carrefour y grandes inversores institucionales con el fin de transformar y mejorar el valor de los centros comerciales contiguos a los hipermercados Carrefour en Francia, España e Italia. A 31 de diciembre de 2021, su cartera estaba valorada en 6.210 millones de euros, compuesta por 214 centros comerciales, todos ellos líderes en sus áreas</w:t>
      </w:r>
      <w:r w:rsidR="00C57ED0">
        <w:rPr>
          <w:i/>
          <w:sz w:val="19"/>
          <w:szCs w:val="19"/>
        </w:rPr>
        <w:t xml:space="preserve"> de influencia, de los cuales 79</w:t>
      </w:r>
      <w:r>
        <w:rPr>
          <w:i/>
          <w:sz w:val="19"/>
          <w:szCs w:val="19"/>
        </w:rPr>
        <w:t xml:space="preserve"> centros están situados en España con una superficie 486.347 m2 de Superficie Bruta Alquilable (SBA).</w:t>
      </w:r>
    </w:p>
    <w:p w:rsidR="00DC6D78" w:rsidRDefault="00DC6D78">
      <w:pPr>
        <w:pBdr>
          <w:top w:val="nil"/>
          <w:left w:val="nil"/>
          <w:bottom w:val="nil"/>
          <w:right w:val="nil"/>
          <w:between w:val="nil"/>
        </w:pBdr>
        <w:spacing w:line="240" w:lineRule="auto"/>
        <w:rPr>
          <w:color w:val="222222"/>
          <w:sz w:val="24"/>
          <w:szCs w:val="24"/>
        </w:rPr>
      </w:pPr>
    </w:p>
    <w:p w:rsidR="00DC6D78" w:rsidRDefault="002B3553">
      <w:pPr>
        <w:pBdr>
          <w:top w:val="nil"/>
          <w:left w:val="nil"/>
          <w:bottom w:val="nil"/>
          <w:right w:val="nil"/>
          <w:between w:val="nil"/>
        </w:pBdr>
        <w:spacing w:line="240" w:lineRule="auto"/>
        <w:rPr>
          <w:color w:val="222222"/>
          <w:sz w:val="24"/>
          <w:szCs w:val="24"/>
        </w:rPr>
      </w:pPr>
      <w:r>
        <w:rPr>
          <w:i/>
          <w:sz w:val="19"/>
          <w:szCs w:val="19"/>
        </w:rPr>
        <w:t xml:space="preserve">Situando la proximidad en el centro de todas sus acciones, la ambición de </w:t>
      </w:r>
      <w:proofErr w:type="spellStart"/>
      <w:r>
        <w:rPr>
          <w:i/>
          <w:sz w:val="19"/>
          <w:szCs w:val="19"/>
        </w:rPr>
        <w:t>Carmila</w:t>
      </w:r>
      <w:proofErr w:type="spellEnd"/>
      <w:r>
        <w:rPr>
          <w:i/>
          <w:sz w:val="19"/>
          <w:szCs w:val="19"/>
        </w:rPr>
        <w:t xml:space="preserve"> es simplificar y mejorar la vida diaria de comerciantes y clientes en el corazón de todas las regiones. Impulsados por una verdadera cultura comerciante, sus equipos integran toda la experiencia dedicada al atractivo de sus activos: operaciones, gestión de centros, marketing digital local, nuevos negocios y RSC.</w:t>
      </w:r>
    </w:p>
    <w:p w:rsidR="00DC6D78" w:rsidRDefault="00DC6D78">
      <w:pPr>
        <w:pBdr>
          <w:top w:val="nil"/>
          <w:left w:val="nil"/>
          <w:bottom w:val="nil"/>
          <w:right w:val="nil"/>
          <w:between w:val="nil"/>
        </w:pBdr>
        <w:spacing w:line="240" w:lineRule="auto"/>
        <w:rPr>
          <w:color w:val="222222"/>
          <w:sz w:val="24"/>
          <w:szCs w:val="24"/>
        </w:rPr>
      </w:pPr>
    </w:p>
    <w:p w:rsidR="00DC6D78" w:rsidRDefault="002B3553">
      <w:pPr>
        <w:pBdr>
          <w:top w:val="nil"/>
          <w:left w:val="nil"/>
          <w:bottom w:val="nil"/>
          <w:right w:val="nil"/>
          <w:between w:val="nil"/>
        </w:pBdr>
        <w:spacing w:line="240" w:lineRule="auto"/>
        <w:rPr>
          <w:color w:val="222222"/>
          <w:sz w:val="24"/>
          <w:szCs w:val="24"/>
        </w:rPr>
      </w:pPr>
      <w:proofErr w:type="spellStart"/>
      <w:r>
        <w:rPr>
          <w:i/>
          <w:sz w:val="19"/>
          <w:szCs w:val="19"/>
        </w:rPr>
        <w:t>Carmila</w:t>
      </w:r>
      <w:proofErr w:type="spellEnd"/>
      <w:r>
        <w:rPr>
          <w:i/>
          <w:sz w:val="19"/>
          <w:szCs w:val="19"/>
        </w:rPr>
        <w:t xml:space="preserve"> cotiza en el Compartimento A de </w:t>
      </w:r>
      <w:proofErr w:type="spellStart"/>
      <w:r>
        <w:rPr>
          <w:i/>
          <w:sz w:val="19"/>
          <w:szCs w:val="19"/>
        </w:rPr>
        <w:t>Euronext</w:t>
      </w:r>
      <w:proofErr w:type="spellEnd"/>
      <w:r>
        <w:rPr>
          <w:i/>
          <w:sz w:val="19"/>
          <w:szCs w:val="19"/>
        </w:rPr>
        <w:t>-Paris con el símbolo CARM. Se beneficia del régimen fiscal de los fideicomisos de inversión inmobiliaria franceses (“SIIC”)</w:t>
      </w:r>
    </w:p>
    <w:p w:rsidR="00DC6D78" w:rsidRDefault="00DC6D78">
      <w:pPr>
        <w:jc w:val="right"/>
        <w:rPr>
          <w:b/>
        </w:rPr>
      </w:pPr>
    </w:p>
    <w:p w:rsidR="00DC6D78" w:rsidRDefault="002B3553">
      <w:pPr>
        <w:jc w:val="right"/>
        <w:rPr>
          <w:b/>
        </w:rPr>
      </w:pPr>
      <w:r>
        <w:rPr>
          <w:b/>
        </w:rPr>
        <w:t xml:space="preserve">Contacto de prensa – </w:t>
      </w:r>
      <w:proofErr w:type="spellStart"/>
      <w:r>
        <w:rPr>
          <w:b/>
        </w:rPr>
        <w:t>Newlink</w:t>
      </w:r>
      <w:proofErr w:type="spellEnd"/>
      <w:r>
        <w:rPr>
          <w:b/>
        </w:rPr>
        <w:t xml:space="preserve"> </w:t>
      </w:r>
      <w:proofErr w:type="spellStart"/>
      <w:r>
        <w:rPr>
          <w:b/>
        </w:rPr>
        <w:t>Spain</w:t>
      </w:r>
      <w:proofErr w:type="spellEnd"/>
    </w:p>
    <w:p w:rsidR="00DC6D78" w:rsidRDefault="002B3553">
      <w:pPr>
        <w:jc w:val="right"/>
      </w:pPr>
      <w:r>
        <w:t xml:space="preserve">Irene Calle </w:t>
      </w:r>
    </w:p>
    <w:p w:rsidR="00DC6D78" w:rsidRDefault="002B3553">
      <w:pPr>
        <w:jc w:val="right"/>
        <w:rPr>
          <w:u w:val="single"/>
        </w:rPr>
      </w:pPr>
      <w:r>
        <w:rPr>
          <w:u w:val="single"/>
        </w:rPr>
        <w:t>Irene.calle@newlink-group.com</w:t>
      </w:r>
    </w:p>
    <w:p w:rsidR="00DC6D78" w:rsidRDefault="002B3553">
      <w:pPr>
        <w:jc w:val="right"/>
      </w:pPr>
      <w:r>
        <w:t>Carlota Echecopar</w:t>
      </w:r>
    </w:p>
    <w:p w:rsidR="00DC6D78" w:rsidRDefault="009A39AB">
      <w:pPr>
        <w:jc w:val="right"/>
      </w:pPr>
      <w:hyperlink r:id="rId8">
        <w:r w:rsidR="002B3553">
          <w:rPr>
            <w:u w:val="single"/>
          </w:rPr>
          <w:t>carlota.echecopar@newlink-group.com</w:t>
        </w:r>
      </w:hyperlink>
      <w:r w:rsidR="002B3553">
        <w:t xml:space="preserve"> </w:t>
      </w:r>
    </w:p>
    <w:p w:rsidR="00DC6D78" w:rsidRDefault="002B3553">
      <w:pPr>
        <w:spacing w:line="240" w:lineRule="auto"/>
        <w:jc w:val="right"/>
      </w:pPr>
      <w:r>
        <w:t>Teléfono: +34 651 963 447</w:t>
      </w:r>
    </w:p>
    <w:p w:rsidR="00DC6D78" w:rsidRDefault="00DC6D78">
      <w:pPr>
        <w:spacing w:line="240" w:lineRule="auto"/>
        <w:jc w:val="right"/>
      </w:pPr>
    </w:p>
    <w:p w:rsidR="00DC6D78" w:rsidRDefault="00DC6D78">
      <w:pPr>
        <w:spacing w:line="240" w:lineRule="auto"/>
        <w:jc w:val="right"/>
        <w:rPr>
          <w:sz w:val="32"/>
          <w:szCs w:val="32"/>
        </w:rPr>
      </w:pPr>
    </w:p>
    <w:p w:rsidR="00DC6D78" w:rsidRDefault="002B3553">
      <w:pPr>
        <w:pBdr>
          <w:top w:val="nil"/>
          <w:left w:val="nil"/>
          <w:bottom w:val="nil"/>
          <w:right w:val="nil"/>
          <w:between w:val="nil"/>
        </w:pBdr>
        <w:spacing w:line="240" w:lineRule="auto"/>
        <w:jc w:val="left"/>
        <w:rPr>
          <w:b/>
          <w:color w:val="D70B00"/>
        </w:rPr>
      </w:pPr>
      <w:r>
        <w:rPr>
          <w:b/>
          <w:color w:val="D70B00"/>
        </w:rPr>
        <w:t>Fundación Adsis, siempre al lado de las personas</w:t>
      </w:r>
      <w:r>
        <w:rPr>
          <w:b/>
          <w:color w:val="D70B00"/>
        </w:rPr>
        <w:br/>
      </w:r>
    </w:p>
    <w:p w:rsidR="00DC6D78" w:rsidRDefault="002B3553">
      <w:pPr>
        <w:spacing w:line="276" w:lineRule="auto"/>
        <w:rPr>
          <w:i/>
          <w:sz w:val="19"/>
          <w:szCs w:val="19"/>
        </w:rPr>
      </w:pPr>
      <w:r>
        <w:rPr>
          <w:i/>
          <w:sz w:val="19"/>
          <w:szCs w:val="19"/>
        </w:rPr>
        <w:t>Fundación Adsis es una entidad sin ánimo de lucro que lucha para construir una sociedad más justa, solidaria e inclusiva. Trabaja desde la cercanía y el acompañamiento, comprometida con las personas en riesgo de exclusión social para que logren desarrollar sus proyectos de vida. Su acción social tiene más de 56 años de historia. Desde que se estableció como fundación hace 26 años ha acompañado a más de 950.000 personas en España y América Latina.</w:t>
      </w:r>
    </w:p>
    <w:p w:rsidR="00DC6D78" w:rsidRDefault="00DC6D78">
      <w:pPr>
        <w:spacing w:line="276" w:lineRule="auto"/>
        <w:rPr>
          <w:i/>
          <w:sz w:val="19"/>
          <w:szCs w:val="19"/>
        </w:rPr>
      </w:pPr>
    </w:p>
    <w:p w:rsidR="00DC6D78" w:rsidRDefault="002B3553">
      <w:pPr>
        <w:jc w:val="right"/>
        <w:rPr>
          <w:b/>
        </w:rPr>
      </w:pPr>
      <w:r>
        <w:rPr>
          <w:b/>
        </w:rPr>
        <w:t>Contacto de prensa – Fundación Adsis</w:t>
      </w:r>
    </w:p>
    <w:p w:rsidR="00DC6D78" w:rsidRDefault="002B3553">
      <w:pPr>
        <w:jc w:val="right"/>
      </w:pPr>
      <w:r>
        <w:t>María Moya</w:t>
      </w:r>
    </w:p>
    <w:p w:rsidR="00DC6D78" w:rsidRDefault="009A39AB">
      <w:pPr>
        <w:jc w:val="right"/>
      </w:pPr>
      <w:hyperlink r:id="rId9">
        <w:r w:rsidR="002B3553">
          <w:rPr>
            <w:u w:val="single"/>
          </w:rPr>
          <w:t>maria.moya@fundacionadsis.org</w:t>
        </w:r>
      </w:hyperlink>
      <w:r w:rsidR="002B3553">
        <w:t xml:space="preserve"> </w:t>
      </w:r>
    </w:p>
    <w:p w:rsidR="00DC6D78" w:rsidRDefault="002B3553">
      <w:pPr>
        <w:spacing w:line="240" w:lineRule="auto"/>
        <w:jc w:val="right"/>
      </w:pPr>
      <w:r>
        <w:t>Teléfono: +34 652 685 456</w:t>
      </w:r>
    </w:p>
    <w:sectPr w:rsidR="00DC6D78">
      <w:headerReference w:type="default" r:id="rId10"/>
      <w:footerReference w:type="default" r:id="rId11"/>
      <w:pgSz w:w="11900" w:h="16840"/>
      <w:pgMar w:top="1417" w:right="1701" w:bottom="1417" w:left="1701" w:header="709" w:footer="4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39AB" w:rsidRDefault="009A39AB">
      <w:pPr>
        <w:spacing w:line="240" w:lineRule="auto"/>
      </w:pPr>
      <w:r>
        <w:separator/>
      </w:r>
    </w:p>
  </w:endnote>
  <w:endnote w:type="continuationSeparator" w:id="0">
    <w:p w:rsidR="009A39AB" w:rsidRDefault="009A39A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roman"/>
    <w:notTrueType/>
    <w:pitch w:val="default"/>
  </w:font>
  <w:font w:name="Georgia">
    <w:panose1 w:val="02040502050405020303"/>
    <w:charset w:val="00"/>
    <w:family w:val="auto"/>
    <w:pitch w:val="default"/>
  </w:font>
  <w:font w:name="Helvetica">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6D78" w:rsidRDefault="00DC6D78">
    <w:pPr>
      <w:widowControl w:val="0"/>
      <w:pBdr>
        <w:top w:val="nil"/>
        <w:left w:val="nil"/>
        <w:bottom w:val="nil"/>
        <w:right w:val="nil"/>
        <w:between w:val="nil"/>
      </w:pBdr>
      <w:spacing w:line="276" w:lineRule="auto"/>
      <w:jc w:val="left"/>
    </w:pPr>
  </w:p>
  <w:p w:rsidR="00DC6D78" w:rsidRDefault="00DC6D78">
    <w:pPr>
      <w:pBdr>
        <w:top w:val="nil"/>
        <w:left w:val="nil"/>
        <w:bottom w:val="nil"/>
        <w:right w:val="nil"/>
        <w:between w:val="nil"/>
      </w:pBdr>
      <w:tabs>
        <w:tab w:val="center" w:pos="4252"/>
        <w:tab w:val="right" w:pos="8504"/>
        <w:tab w:val="right" w:pos="8478"/>
      </w:tabs>
      <w:spacing w:line="240" w:lineRule="auto"/>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39AB" w:rsidRDefault="009A39AB">
      <w:pPr>
        <w:spacing w:line="240" w:lineRule="auto"/>
      </w:pPr>
      <w:r>
        <w:separator/>
      </w:r>
    </w:p>
  </w:footnote>
  <w:footnote w:type="continuationSeparator" w:id="0">
    <w:p w:rsidR="009A39AB" w:rsidRDefault="009A39A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6D78" w:rsidRDefault="002B3553">
    <w:pPr>
      <w:pBdr>
        <w:top w:val="nil"/>
        <w:left w:val="nil"/>
        <w:bottom w:val="nil"/>
        <w:right w:val="nil"/>
        <w:between w:val="nil"/>
      </w:pBdr>
      <w:tabs>
        <w:tab w:val="center" w:pos="4252"/>
        <w:tab w:val="right" w:pos="8504"/>
        <w:tab w:val="right" w:pos="8478"/>
      </w:tabs>
    </w:pPr>
    <w:r>
      <w:br/>
    </w:r>
    <w:r>
      <w:br/>
    </w:r>
    <w:r>
      <w:rPr>
        <w:noProof/>
        <w:lang w:val="es-ES" w:eastAsia="es-ES"/>
      </w:rPr>
      <w:drawing>
        <wp:anchor distT="0" distB="0" distL="114300" distR="114300" simplePos="0" relativeHeight="251658240" behindDoc="0" locked="0" layoutInCell="1" hidden="0" allowOverlap="1">
          <wp:simplePos x="0" y="0"/>
          <wp:positionH relativeFrom="column">
            <wp:posOffset>-365299</wp:posOffset>
          </wp:positionH>
          <wp:positionV relativeFrom="paragraph">
            <wp:posOffset>-199873</wp:posOffset>
          </wp:positionV>
          <wp:extent cx="1649730" cy="589915"/>
          <wp:effectExtent l="0" t="0" r="0" b="0"/>
          <wp:wrapSquare wrapText="bothSides" distT="0" distB="0" distL="114300" distR="114300"/>
          <wp:docPr id="12" name="image3.jpg" descr="Logotipo, nombre de la empresa&#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3.jpg" descr="Logotipo, nombre de la empresa&#10;&#10;Descripción generada automáticamente"/>
                  <pic:cNvPicPr preferRelativeResize="0"/>
                </pic:nvPicPr>
                <pic:blipFill>
                  <a:blip r:embed="rId1"/>
                  <a:srcRect l="8754" t="25623" r="8754" b="21873"/>
                  <a:stretch>
                    <a:fillRect/>
                  </a:stretch>
                </pic:blipFill>
                <pic:spPr>
                  <a:xfrm>
                    <a:off x="0" y="0"/>
                    <a:ext cx="1649730" cy="589915"/>
                  </a:xfrm>
                  <a:prstGeom prst="rect">
                    <a:avLst/>
                  </a:prstGeom>
                  <a:ln/>
                </pic:spPr>
              </pic:pic>
            </a:graphicData>
          </a:graphic>
        </wp:anchor>
      </w:drawing>
    </w:r>
    <w:r>
      <w:rPr>
        <w:noProof/>
        <w:lang w:val="es-ES" w:eastAsia="es-ES"/>
      </w:rPr>
      <w:drawing>
        <wp:anchor distT="0" distB="0" distL="114300" distR="114300" simplePos="0" relativeHeight="251659264" behindDoc="0" locked="0" layoutInCell="1" hidden="0" allowOverlap="1">
          <wp:simplePos x="0" y="0"/>
          <wp:positionH relativeFrom="column">
            <wp:posOffset>4774565</wp:posOffset>
          </wp:positionH>
          <wp:positionV relativeFrom="paragraph">
            <wp:posOffset>-342263</wp:posOffset>
          </wp:positionV>
          <wp:extent cx="831850" cy="831850"/>
          <wp:effectExtent l="0" t="0" r="0" b="0"/>
          <wp:wrapSquare wrapText="bothSides" distT="0" distB="0" distL="114300" distR="114300"/>
          <wp:docPr id="13" name="image2.jpg" descr="C:\Users\Comunicacion\AppData\Local\Microsoft\Windows\INetCache\Content.Word\Fundación Adsis logo CAS.JPG"/>
          <wp:cNvGraphicFramePr/>
          <a:graphic xmlns:a="http://schemas.openxmlformats.org/drawingml/2006/main">
            <a:graphicData uri="http://schemas.openxmlformats.org/drawingml/2006/picture">
              <pic:pic xmlns:pic="http://schemas.openxmlformats.org/drawingml/2006/picture">
                <pic:nvPicPr>
                  <pic:cNvPr id="0" name="image2.jpg" descr="C:\Users\Comunicacion\AppData\Local\Microsoft\Windows\INetCache\Content.Word\Fundación Adsis logo CAS.JPG"/>
                  <pic:cNvPicPr preferRelativeResize="0"/>
                </pic:nvPicPr>
                <pic:blipFill>
                  <a:blip r:embed="rId2"/>
                  <a:srcRect/>
                  <a:stretch>
                    <a:fillRect/>
                  </a:stretch>
                </pic:blipFill>
                <pic:spPr>
                  <a:xfrm>
                    <a:off x="0" y="0"/>
                    <a:ext cx="831850" cy="83185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6D78"/>
    <w:rsid w:val="00091936"/>
    <w:rsid w:val="002B3553"/>
    <w:rsid w:val="006D17FC"/>
    <w:rsid w:val="009A39AB"/>
    <w:rsid w:val="00C57ED0"/>
    <w:rsid w:val="00C84F54"/>
    <w:rsid w:val="00DC6D78"/>
    <w:rsid w:val="00F4206A"/>
    <w:rsid w:val="00F468A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2D657E"/>
  <w15:docId w15:val="{F3DF5ABF-B0CF-4F10-AD3D-EAB2063AA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lang w:val="es-ES_tradnl" w:eastAsia="es-E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2F6B"/>
    <w:rPr>
      <w:color w:val="000000"/>
      <w:u w:color="000000"/>
      <w:lang w:eastAsia="en-US"/>
    </w:rPr>
  </w:style>
  <w:style w:type="paragraph" w:styleId="Ttulo1">
    <w:name w:val="heading 1"/>
    <w:basedOn w:val="Normal"/>
    <w:next w:val="Normal"/>
    <w:uiPriority w:val="9"/>
    <w:qFormat/>
    <w:rsid w:val="009303A2"/>
    <w:pPr>
      <w:keepNext/>
      <w:keepLines/>
      <w:spacing w:before="480" w:after="120"/>
      <w:outlineLvl w:val="0"/>
    </w:pPr>
    <w:rPr>
      <w:b/>
      <w:sz w:val="48"/>
      <w:szCs w:val="48"/>
    </w:rPr>
  </w:style>
  <w:style w:type="paragraph" w:styleId="Ttulo2">
    <w:name w:val="heading 2"/>
    <w:basedOn w:val="Normal"/>
    <w:next w:val="Normal"/>
    <w:uiPriority w:val="9"/>
    <w:semiHidden/>
    <w:unhideWhenUsed/>
    <w:qFormat/>
    <w:rsid w:val="009303A2"/>
    <w:pPr>
      <w:keepNext/>
      <w:keepLines/>
      <w:spacing w:before="360" w:after="80"/>
      <w:outlineLvl w:val="1"/>
    </w:pPr>
    <w:rPr>
      <w:b/>
      <w:sz w:val="36"/>
      <w:szCs w:val="36"/>
    </w:rPr>
  </w:style>
  <w:style w:type="paragraph" w:styleId="Ttulo3">
    <w:name w:val="heading 3"/>
    <w:basedOn w:val="Normal"/>
    <w:next w:val="Normal"/>
    <w:uiPriority w:val="9"/>
    <w:semiHidden/>
    <w:unhideWhenUsed/>
    <w:qFormat/>
    <w:rsid w:val="009303A2"/>
    <w:pPr>
      <w:keepNext/>
      <w:keepLines/>
      <w:spacing w:before="280" w:after="80"/>
      <w:outlineLvl w:val="2"/>
    </w:pPr>
    <w:rPr>
      <w:b/>
      <w:sz w:val="28"/>
      <w:szCs w:val="28"/>
    </w:rPr>
  </w:style>
  <w:style w:type="paragraph" w:styleId="Ttulo4">
    <w:name w:val="heading 4"/>
    <w:basedOn w:val="Normal"/>
    <w:next w:val="Normal"/>
    <w:uiPriority w:val="9"/>
    <w:semiHidden/>
    <w:unhideWhenUsed/>
    <w:qFormat/>
    <w:rsid w:val="009303A2"/>
    <w:pPr>
      <w:keepNext/>
      <w:keepLines/>
      <w:spacing w:before="240" w:after="40"/>
      <w:outlineLvl w:val="3"/>
    </w:pPr>
    <w:rPr>
      <w:b/>
      <w:sz w:val="24"/>
      <w:szCs w:val="24"/>
    </w:rPr>
  </w:style>
  <w:style w:type="paragraph" w:styleId="Ttulo5">
    <w:name w:val="heading 5"/>
    <w:basedOn w:val="Normal"/>
    <w:next w:val="Normal"/>
    <w:uiPriority w:val="9"/>
    <w:semiHidden/>
    <w:unhideWhenUsed/>
    <w:qFormat/>
    <w:rsid w:val="009303A2"/>
    <w:pPr>
      <w:keepNext/>
      <w:keepLines/>
      <w:spacing w:before="220" w:after="40"/>
      <w:outlineLvl w:val="4"/>
    </w:pPr>
    <w:rPr>
      <w:b/>
      <w:sz w:val="22"/>
      <w:szCs w:val="22"/>
    </w:rPr>
  </w:style>
  <w:style w:type="paragraph" w:styleId="Ttulo6">
    <w:name w:val="heading 6"/>
    <w:basedOn w:val="Normal"/>
    <w:next w:val="Normal"/>
    <w:uiPriority w:val="9"/>
    <w:semiHidden/>
    <w:unhideWhenUsed/>
    <w:qFormat/>
    <w:rsid w:val="009303A2"/>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rsid w:val="009303A2"/>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customStyle="1" w:styleId="Normal1">
    <w:name w:val="Normal1"/>
    <w:rsid w:val="00DA444B"/>
  </w:style>
  <w:style w:type="table" w:customStyle="1" w:styleId="TableNormal3">
    <w:name w:val="Table Normal"/>
    <w:rsid w:val="00DA444B"/>
    <w:tblPr>
      <w:tblCellMar>
        <w:top w:w="0" w:type="dxa"/>
        <w:left w:w="0" w:type="dxa"/>
        <w:bottom w:w="0" w:type="dxa"/>
        <w:right w:w="0" w:type="dxa"/>
      </w:tblCellMar>
    </w:tblPr>
  </w:style>
  <w:style w:type="table" w:customStyle="1" w:styleId="TableNormal4">
    <w:name w:val="Table Normal"/>
    <w:rsid w:val="00DA444B"/>
    <w:tblPr>
      <w:tblCellMar>
        <w:top w:w="0" w:type="dxa"/>
        <w:left w:w="0" w:type="dxa"/>
        <w:bottom w:w="0" w:type="dxa"/>
        <w:right w:w="0" w:type="dxa"/>
      </w:tblCellMar>
    </w:tblPr>
  </w:style>
  <w:style w:type="paragraph" w:customStyle="1" w:styleId="Normal10">
    <w:name w:val="Normal1"/>
    <w:rsid w:val="00654F34"/>
  </w:style>
  <w:style w:type="table" w:customStyle="1" w:styleId="TableNormal5">
    <w:name w:val="Table Normal"/>
    <w:rsid w:val="00654F34"/>
    <w:tblPr>
      <w:tblCellMar>
        <w:top w:w="0" w:type="dxa"/>
        <w:left w:w="0" w:type="dxa"/>
        <w:bottom w:w="0" w:type="dxa"/>
        <w:right w:w="0" w:type="dxa"/>
      </w:tblCellMar>
    </w:tblPr>
  </w:style>
  <w:style w:type="table" w:customStyle="1" w:styleId="TableNormal6">
    <w:name w:val="Table Normal"/>
    <w:rsid w:val="00654F34"/>
    <w:tblPr>
      <w:tblCellMar>
        <w:top w:w="0" w:type="dxa"/>
        <w:left w:w="0" w:type="dxa"/>
        <w:bottom w:w="0" w:type="dxa"/>
        <w:right w:w="0" w:type="dxa"/>
      </w:tblCellMar>
    </w:tblPr>
  </w:style>
  <w:style w:type="table" w:customStyle="1" w:styleId="TableNormal7">
    <w:name w:val="Table Normal"/>
    <w:rsid w:val="00654F34"/>
    <w:tblPr>
      <w:tblCellMar>
        <w:top w:w="0" w:type="dxa"/>
        <w:left w:w="0" w:type="dxa"/>
        <w:bottom w:w="0" w:type="dxa"/>
        <w:right w:w="0" w:type="dxa"/>
      </w:tblCellMar>
    </w:tblPr>
  </w:style>
  <w:style w:type="table" w:customStyle="1" w:styleId="TableNormal8">
    <w:name w:val="Table Normal"/>
    <w:rsid w:val="00654F34"/>
    <w:tblPr>
      <w:tblCellMar>
        <w:top w:w="0" w:type="dxa"/>
        <w:left w:w="0" w:type="dxa"/>
        <w:bottom w:w="0" w:type="dxa"/>
        <w:right w:w="0" w:type="dxa"/>
      </w:tblCellMar>
    </w:tblPr>
  </w:style>
  <w:style w:type="paragraph" w:customStyle="1" w:styleId="Normal11">
    <w:name w:val="Normal1"/>
    <w:rsid w:val="00ED7E69"/>
  </w:style>
  <w:style w:type="table" w:customStyle="1" w:styleId="TableNormal9">
    <w:name w:val="Table Normal"/>
    <w:rsid w:val="00ED7E69"/>
    <w:tblPr>
      <w:tblCellMar>
        <w:top w:w="0" w:type="dxa"/>
        <w:left w:w="0" w:type="dxa"/>
        <w:bottom w:w="0" w:type="dxa"/>
        <w:right w:w="0" w:type="dxa"/>
      </w:tblCellMar>
    </w:tblPr>
  </w:style>
  <w:style w:type="table" w:customStyle="1" w:styleId="TableNormala">
    <w:name w:val="Table Normal"/>
    <w:rsid w:val="00ED7E69"/>
    <w:tblPr>
      <w:tblCellMar>
        <w:top w:w="0" w:type="dxa"/>
        <w:left w:w="0" w:type="dxa"/>
        <w:bottom w:w="0" w:type="dxa"/>
        <w:right w:w="0" w:type="dxa"/>
      </w:tblCellMar>
    </w:tblPr>
  </w:style>
  <w:style w:type="paragraph" w:customStyle="1" w:styleId="Normal12">
    <w:name w:val="Normal1"/>
    <w:rsid w:val="009303A2"/>
  </w:style>
  <w:style w:type="table" w:customStyle="1" w:styleId="TableNormalb">
    <w:name w:val="Table Normal"/>
    <w:rsid w:val="009303A2"/>
    <w:tblPr>
      <w:tblCellMar>
        <w:top w:w="0" w:type="dxa"/>
        <w:left w:w="0" w:type="dxa"/>
        <w:bottom w:w="0" w:type="dxa"/>
        <w:right w:w="0" w:type="dxa"/>
      </w:tblCellMar>
    </w:tblPr>
  </w:style>
  <w:style w:type="table" w:customStyle="1" w:styleId="TableNormalc">
    <w:name w:val="Table Normal"/>
    <w:rsid w:val="009303A2"/>
    <w:tblPr>
      <w:tblCellMar>
        <w:top w:w="0" w:type="dxa"/>
        <w:left w:w="0" w:type="dxa"/>
        <w:bottom w:w="0" w:type="dxa"/>
        <w:right w:w="0" w:type="dxa"/>
      </w:tblCellMar>
    </w:tblPr>
  </w:style>
  <w:style w:type="table" w:customStyle="1" w:styleId="TableNormald">
    <w:name w:val="Table Normal"/>
    <w:rsid w:val="009303A2"/>
    <w:tblPr>
      <w:tblCellMar>
        <w:top w:w="0" w:type="dxa"/>
        <w:left w:w="0" w:type="dxa"/>
        <w:bottom w:w="0" w:type="dxa"/>
        <w:right w:w="0" w:type="dxa"/>
      </w:tblCellMar>
    </w:tblPr>
  </w:style>
  <w:style w:type="table" w:customStyle="1" w:styleId="TableNormale">
    <w:name w:val="Table Normal"/>
    <w:rsid w:val="009303A2"/>
    <w:tblPr>
      <w:tblCellMar>
        <w:top w:w="0" w:type="dxa"/>
        <w:left w:w="0" w:type="dxa"/>
        <w:bottom w:w="0" w:type="dxa"/>
        <w:right w:w="0" w:type="dxa"/>
      </w:tblCellMar>
    </w:tblPr>
  </w:style>
  <w:style w:type="table" w:customStyle="1" w:styleId="TableNormalf">
    <w:name w:val="Table Normal"/>
    <w:rsid w:val="009303A2"/>
    <w:tblPr>
      <w:tblCellMar>
        <w:top w:w="0" w:type="dxa"/>
        <w:left w:w="0" w:type="dxa"/>
        <w:bottom w:w="0" w:type="dxa"/>
        <w:right w:w="0" w:type="dxa"/>
      </w:tblCellMar>
    </w:tblPr>
  </w:style>
  <w:style w:type="table" w:customStyle="1" w:styleId="TableNormalf0">
    <w:name w:val="Table Normal"/>
    <w:rsid w:val="009303A2"/>
    <w:tblPr>
      <w:tblCellMar>
        <w:top w:w="0" w:type="dxa"/>
        <w:left w:w="0" w:type="dxa"/>
        <w:bottom w:w="0" w:type="dxa"/>
        <w:right w:w="0" w:type="dxa"/>
      </w:tblCellMar>
    </w:tblPr>
  </w:style>
  <w:style w:type="character" w:styleId="Hipervnculo">
    <w:name w:val="Hyperlink"/>
    <w:rsid w:val="004B2F6B"/>
    <w:rPr>
      <w:u w:val="single"/>
    </w:rPr>
  </w:style>
  <w:style w:type="table" w:customStyle="1" w:styleId="TableNormalf1">
    <w:name w:val="Table Normal"/>
    <w:rsid w:val="004B2F6B"/>
    <w:tblPr>
      <w:tblInd w:w="0" w:type="dxa"/>
      <w:tblCellMar>
        <w:top w:w="0" w:type="dxa"/>
        <w:left w:w="0" w:type="dxa"/>
        <w:bottom w:w="0" w:type="dxa"/>
        <w:right w:w="0" w:type="dxa"/>
      </w:tblCellMar>
    </w:tblPr>
  </w:style>
  <w:style w:type="paragraph" w:styleId="Encabezado">
    <w:name w:val="header"/>
    <w:link w:val="EncabezadoCar"/>
    <w:uiPriority w:val="99"/>
    <w:rsid w:val="004B2F6B"/>
    <w:pPr>
      <w:tabs>
        <w:tab w:val="center" w:pos="4252"/>
        <w:tab w:val="right" w:pos="8504"/>
      </w:tabs>
    </w:pPr>
    <w:rPr>
      <w:rFonts w:hAnsi="Arial Unicode MS" w:cs="Arial Unicode MS"/>
      <w:color w:val="000000"/>
      <w:u w:color="000000"/>
    </w:rPr>
  </w:style>
  <w:style w:type="paragraph" w:styleId="Sinespaciado">
    <w:name w:val="No Spacing"/>
    <w:link w:val="SinespaciadoCar"/>
    <w:uiPriority w:val="1"/>
    <w:qFormat/>
    <w:rsid w:val="004B2F6B"/>
    <w:rPr>
      <w:rFonts w:ascii="Calibri" w:eastAsia="Calibri" w:hAnsi="Calibri" w:cs="Calibri"/>
      <w:color w:val="000000"/>
      <w:sz w:val="22"/>
      <w:szCs w:val="22"/>
      <w:u w:color="000000"/>
    </w:rPr>
  </w:style>
  <w:style w:type="paragraph" w:styleId="Piedepgina">
    <w:name w:val="footer"/>
    <w:link w:val="PiedepginaCar"/>
    <w:uiPriority w:val="99"/>
    <w:rsid w:val="004B2F6B"/>
    <w:pPr>
      <w:tabs>
        <w:tab w:val="center" w:pos="4252"/>
        <w:tab w:val="right" w:pos="8504"/>
      </w:tabs>
    </w:pPr>
    <w:rPr>
      <w:color w:val="000000"/>
      <w:u w:color="000000"/>
    </w:rPr>
  </w:style>
  <w:style w:type="paragraph" w:styleId="Textodeglobo">
    <w:name w:val="Balloon Text"/>
    <w:basedOn w:val="Normal"/>
    <w:link w:val="TextodegloboCar"/>
    <w:uiPriority w:val="99"/>
    <w:semiHidden/>
    <w:unhideWhenUsed/>
    <w:rsid w:val="00C61397"/>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61397"/>
    <w:rPr>
      <w:rFonts w:ascii="Tahoma" w:eastAsia="Arial" w:hAnsi="Tahoma" w:cs="Tahoma"/>
      <w:color w:val="000000"/>
      <w:sz w:val="16"/>
      <w:szCs w:val="16"/>
      <w:u w:color="000000"/>
      <w:lang w:eastAsia="en-US"/>
    </w:rPr>
  </w:style>
  <w:style w:type="character" w:customStyle="1" w:styleId="SinespaciadoCar">
    <w:name w:val="Sin espaciado Car"/>
    <w:basedOn w:val="Fuentedeprrafopredeter"/>
    <w:link w:val="Sinespaciado"/>
    <w:uiPriority w:val="1"/>
    <w:rsid w:val="00C61397"/>
    <w:rPr>
      <w:rFonts w:ascii="Calibri" w:eastAsia="Calibri" w:hAnsi="Calibri" w:cs="Calibri"/>
      <w:color w:val="000000"/>
      <w:sz w:val="22"/>
      <w:szCs w:val="22"/>
      <w:u w:color="000000"/>
    </w:rPr>
  </w:style>
  <w:style w:type="character" w:customStyle="1" w:styleId="EncabezadoCar">
    <w:name w:val="Encabezado Car"/>
    <w:basedOn w:val="Fuentedeprrafopredeter"/>
    <w:link w:val="Encabezado"/>
    <w:uiPriority w:val="99"/>
    <w:rsid w:val="00C61397"/>
    <w:rPr>
      <w:rFonts w:ascii="Arial" w:hAnsi="Arial Unicode MS" w:cs="Arial Unicode MS"/>
      <w:color w:val="000000"/>
      <w:u w:color="000000"/>
    </w:rPr>
  </w:style>
  <w:style w:type="character" w:customStyle="1" w:styleId="PiedepginaCar">
    <w:name w:val="Pie de página Car"/>
    <w:basedOn w:val="Fuentedeprrafopredeter"/>
    <w:link w:val="Piedepgina"/>
    <w:uiPriority w:val="99"/>
    <w:rsid w:val="00F15C5B"/>
    <w:rPr>
      <w:rFonts w:ascii="Arial" w:eastAsia="Arial" w:hAnsi="Arial" w:cs="Arial"/>
      <w:color w:val="000000"/>
      <w:u w:color="000000"/>
    </w:rPr>
  </w:style>
  <w:style w:type="paragraph" w:customStyle="1" w:styleId="Default">
    <w:name w:val="Default"/>
    <w:rsid w:val="00FD2265"/>
    <w:pPr>
      <w:autoSpaceDE w:val="0"/>
      <w:autoSpaceDN w:val="0"/>
      <w:adjustRightInd w:val="0"/>
    </w:pPr>
    <w:rPr>
      <w:color w:val="000000"/>
      <w:sz w:val="24"/>
      <w:szCs w:val="24"/>
      <w:lang w:val="es-ES"/>
    </w:rPr>
  </w:style>
  <w:style w:type="paragraph" w:styleId="Prrafodelista">
    <w:name w:val="List Paragraph"/>
    <w:basedOn w:val="Normal"/>
    <w:uiPriority w:val="34"/>
    <w:qFormat/>
    <w:rsid w:val="005051A5"/>
    <w:pPr>
      <w:ind w:left="720"/>
      <w:contextualSpacing/>
    </w:p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f1"/>
    <w:rsid w:val="009303A2"/>
    <w:tblPr>
      <w:tblStyleRowBandSize w:val="1"/>
      <w:tblStyleColBandSize w:val="1"/>
      <w:tblCellMar>
        <w:top w:w="72" w:type="dxa"/>
        <w:left w:w="115" w:type="dxa"/>
        <w:bottom w:w="72" w:type="dxa"/>
        <w:right w:w="115" w:type="dxa"/>
      </w:tblCellMar>
    </w:tblPr>
  </w:style>
  <w:style w:type="character" w:styleId="Refdecomentario">
    <w:name w:val="annotation reference"/>
    <w:basedOn w:val="Fuentedeprrafopredeter"/>
    <w:uiPriority w:val="99"/>
    <w:semiHidden/>
    <w:unhideWhenUsed/>
    <w:rsid w:val="00404924"/>
    <w:rPr>
      <w:sz w:val="16"/>
      <w:szCs w:val="16"/>
    </w:rPr>
  </w:style>
  <w:style w:type="paragraph" w:styleId="Textocomentario">
    <w:name w:val="annotation text"/>
    <w:basedOn w:val="Normal"/>
    <w:link w:val="TextocomentarioCar"/>
    <w:uiPriority w:val="99"/>
    <w:semiHidden/>
    <w:unhideWhenUsed/>
    <w:rsid w:val="00404924"/>
    <w:pPr>
      <w:spacing w:line="240" w:lineRule="auto"/>
    </w:pPr>
  </w:style>
  <w:style w:type="character" w:customStyle="1" w:styleId="TextocomentarioCar">
    <w:name w:val="Texto comentario Car"/>
    <w:basedOn w:val="Fuentedeprrafopredeter"/>
    <w:link w:val="Textocomentario"/>
    <w:uiPriority w:val="99"/>
    <w:semiHidden/>
    <w:rsid w:val="00404924"/>
    <w:rPr>
      <w:color w:val="000000"/>
      <w:u w:color="000000"/>
      <w:lang w:eastAsia="en-US"/>
    </w:rPr>
  </w:style>
  <w:style w:type="paragraph" w:styleId="Asuntodelcomentario">
    <w:name w:val="annotation subject"/>
    <w:basedOn w:val="Textocomentario"/>
    <w:next w:val="Textocomentario"/>
    <w:link w:val="AsuntodelcomentarioCar"/>
    <w:uiPriority w:val="99"/>
    <w:semiHidden/>
    <w:unhideWhenUsed/>
    <w:rsid w:val="00404924"/>
    <w:rPr>
      <w:b/>
      <w:bCs/>
    </w:rPr>
  </w:style>
  <w:style w:type="character" w:customStyle="1" w:styleId="AsuntodelcomentarioCar">
    <w:name w:val="Asunto del comentario Car"/>
    <w:basedOn w:val="TextocomentarioCar"/>
    <w:link w:val="Asuntodelcomentario"/>
    <w:uiPriority w:val="99"/>
    <w:semiHidden/>
    <w:rsid w:val="00404924"/>
    <w:rPr>
      <w:b/>
      <w:bCs/>
      <w:color w:val="000000"/>
      <w:u w:color="000000"/>
      <w:lang w:eastAsia="en-US"/>
    </w:rPr>
  </w:style>
  <w:style w:type="character" w:customStyle="1" w:styleId="Mencinsinresolver1">
    <w:name w:val="Mención sin resolver1"/>
    <w:basedOn w:val="Fuentedeprrafopredeter"/>
    <w:uiPriority w:val="99"/>
    <w:semiHidden/>
    <w:unhideWhenUsed/>
    <w:rsid w:val="00374069"/>
    <w:rPr>
      <w:color w:val="605E5C"/>
      <w:shd w:val="clear" w:color="auto" w:fill="E1DFDD"/>
    </w:rPr>
  </w:style>
  <w:style w:type="paragraph" w:styleId="NormalWeb">
    <w:name w:val="Normal (Web)"/>
    <w:basedOn w:val="Normal"/>
    <w:uiPriority w:val="99"/>
    <w:semiHidden/>
    <w:unhideWhenUsed/>
    <w:rsid w:val="00DB4BA4"/>
    <w:pPr>
      <w:spacing w:before="100" w:beforeAutospacing="1" w:after="100" w:afterAutospacing="1" w:line="240" w:lineRule="auto"/>
      <w:jc w:val="left"/>
    </w:pPr>
    <w:rPr>
      <w:rFonts w:ascii="Calibri" w:eastAsiaTheme="minorHAnsi" w:hAnsi="Calibri" w:cs="Calibri"/>
      <w:color w:val="auto"/>
      <w:sz w:val="22"/>
      <w:szCs w:val="22"/>
      <w:lang w:val="es-ES" w:eastAsia="es-ES"/>
    </w:rPr>
  </w:style>
  <w:style w:type="paragraph" w:styleId="Revisin">
    <w:name w:val="Revision"/>
    <w:hidden/>
    <w:uiPriority w:val="99"/>
    <w:semiHidden/>
    <w:rsid w:val="005B3397"/>
    <w:pPr>
      <w:spacing w:line="240" w:lineRule="auto"/>
      <w:jc w:val="left"/>
    </w:pPr>
    <w:rPr>
      <w:color w:val="000000"/>
      <w:u w:color="000000"/>
      <w:lang w:eastAsia="en-US"/>
    </w:rPr>
  </w:style>
  <w:style w:type="character" w:customStyle="1" w:styleId="Mencinsinresolver2">
    <w:name w:val="Mención sin resolver2"/>
    <w:basedOn w:val="Fuentedeprrafopredeter"/>
    <w:uiPriority w:val="99"/>
    <w:semiHidden/>
    <w:unhideWhenUsed/>
    <w:rsid w:val="009948DD"/>
    <w:rPr>
      <w:color w:val="605E5C"/>
      <w:shd w:val="clear" w:color="auto" w:fill="E1DFDD"/>
    </w:rPr>
  </w:style>
  <w:style w:type="character" w:customStyle="1" w:styleId="gmail-il">
    <w:name w:val="gmail-il"/>
    <w:basedOn w:val="Fuentedeprrafopredeter"/>
    <w:rsid w:val="00B22B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carlota.echecopar@newlink-group.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maria.moya@fundacionadsis.org" TargetMode="Externa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theme/_rels/theme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just" defTabSz="449580" rtl="0" fontAlgn="auto" latinLnBrk="1" hangingPunct="0">
          <a:lnSpc>
            <a:spcPct val="150000"/>
          </a:lnSpc>
          <a:spcBef>
            <a:spcPts val="0"/>
          </a:spcBef>
          <a:spcAft>
            <a:spcPts val="0"/>
          </a:spcAft>
          <a:buClrTx/>
          <a:buSzTx/>
          <a:buFontTx/>
          <a:buNone/>
          <a:tabLst/>
          <a:defRPr kumimoji="0" sz="1000" b="0" i="0" u="none" strike="noStrike" cap="none" spc="0" normalizeH="0" baseline="0">
            <a:ln>
              <a:noFill/>
            </a:ln>
            <a:solidFill>
              <a:srgbClr val="000000"/>
            </a:solidFill>
            <a:effectLst/>
            <a:uFill>
              <a:solidFill>
                <a:srgbClr val="000000"/>
              </a:solidFill>
            </a:uFill>
            <a:latin typeface="Arial"/>
            <a:ea typeface="Arial"/>
            <a:cs typeface="Arial"/>
            <a:sym typeface="Arial"/>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r/FdzphyDC2WWNsFVHd6A3R6o7g==">AMUW2mXyCvVjjuWRoCNV/ACXbKq/BRgXkaLyOUiM5GG30T+WH80LFzGAbotUVBCUsaLmVN2zaIA6Y+giQ7mbUsBsN9G5DLwTP/WdeK7jp3zAbp+t2owmgQU+ZhjpP3ac4jk/96I/VDUj3UxdQWuewILpb6O8aqZ/fireAd2IpU4+HogAEq7VBRFW2x2247k1sWh7pAmJ0zdhICZ+w8HxFLhXw1gUGIDK7wi1xB13kfovXlVGNr2xUuc=</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o" ma:contentTypeID="0x010100F023E0E965564C4CA123D3A80D0F8DB7" ma:contentTypeVersion="17" ma:contentTypeDescription="Crear nuevo documento." ma:contentTypeScope="" ma:versionID="d6a66afe17e62b754fb186d70a7130a3">
  <xsd:schema xmlns:xsd="http://www.w3.org/2001/XMLSchema" xmlns:xs="http://www.w3.org/2001/XMLSchema" xmlns:p="http://schemas.microsoft.com/office/2006/metadata/properties" xmlns:ns2="4dd9d709-e360-4789-9258-12186bad9282" xmlns:ns3="5883cd9b-706f-4747-bf65-5a364d6e030d" targetNamespace="http://schemas.microsoft.com/office/2006/metadata/properties" ma:root="true" ma:fieldsID="1f96ab50fbd279fc625e40a047b5a66b" ns2:_="" ns3:_="">
    <xsd:import namespace="4dd9d709-e360-4789-9258-12186bad9282"/>
    <xsd:import namespace="5883cd9b-706f-4747-bf65-5a364d6e030d"/>
    <xsd:element name="properties">
      <xsd:complexType>
        <xsd:sequence>
          <xsd:element name="documentManagement">
            <xsd:complexType>
              <xsd:all>
                <xsd:element ref="ns2:Creador" minOccurs="0"/>
                <xsd:element ref="ns2:Zona" minOccurs="0"/>
                <xsd:element ref="ns2:A_x00f1_o" minOccurs="0"/>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d9d709-e360-4789-9258-12186bad9282" elementFormDefault="qualified">
    <xsd:import namespace="http://schemas.microsoft.com/office/2006/documentManagement/types"/>
    <xsd:import namespace="http://schemas.microsoft.com/office/infopath/2007/PartnerControls"/>
    <xsd:element name="Creador" ma:index="8" nillable="true" ma:displayName="Creador" ma:format="Dropdown" ma:internalName="Creador">
      <xsd:simpleType>
        <xsd:restriction base="dms:Text">
          <xsd:maxLength value="255"/>
        </xsd:restriction>
      </xsd:simpleType>
    </xsd:element>
    <xsd:element name="Zona" ma:index="9" nillable="true" ma:displayName="Zona" ma:format="Dropdown" ma:internalName="Zona">
      <xsd:simpleType>
        <xsd:restriction base="dms:Text">
          <xsd:maxLength value="255"/>
        </xsd:restriction>
      </xsd:simpleType>
    </xsd:element>
    <xsd:element name="A_x00f1_o" ma:index="10" nillable="true" ma:displayName="Año" ma:format="Dropdown" ma:internalName="A_x00f1_o">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Etiquetas de imagen" ma:readOnly="false" ma:fieldId="{5cf76f15-5ced-4ddc-b409-7134ff3c332f}" ma:taxonomyMulti="true" ma:sspId="376585b8-bb4d-4371-afac-a5c95be11c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83cd9b-706f-4747-bf65-5a364d6e030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f781882d-f987-421d-8c0a-672458910a55}" ma:internalName="TaxCatchAll" ma:showField="CatchAllData" ma:web="5883cd9b-706f-4747-bf65-5a364d6e030d">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dd9d709-e360-4789-9258-12186bad9282">
      <Terms xmlns="http://schemas.microsoft.com/office/infopath/2007/PartnerControls"/>
    </lcf76f155ced4ddcb4097134ff3c332f>
    <Zona xmlns="4dd9d709-e360-4789-9258-12186bad9282" xsi:nil="true"/>
    <TaxCatchAll xmlns="5883cd9b-706f-4747-bf65-5a364d6e030d" xsi:nil="true"/>
    <A_x00f1_o xmlns="4dd9d709-e360-4789-9258-12186bad9282" xsi:nil="true"/>
    <Creador xmlns="4dd9d709-e360-4789-9258-12186bad9282" xsi:nil="true"/>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EF55EF8-821E-4AE3-8358-7A2692648C8C}"/>
</file>

<file path=customXml/itemProps3.xml><?xml version="1.0" encoding="utf-8"?>
<ds:datastoreItem xmlns:ds="http://schemas.openxmlformats.org/officeDocument/2006/customXml" ds:itemID="{234F0C46-09A7-463C-B3EB-315BC85F1C1E}"/>
</file>

<file path=customXml/itemProps4.xml><?xml version="1.0" encoding="utf-8"?>
<ds:datastoreItem xmlns:ds="http://schemas.openxmlformats.org/officeDocument/2006/customXml" ds:itemID="{377F90A8-090C-422E-A3FF-6A94F29B19FD}"/>
</file>

<file path=docProps/app.xml><?xml version="1.0" encoding="utf-8"?>
<Properties xmlns="http://schemas.openxmlformats.org/officeDocument/2006/extended-properties" xmlns:vt="http://schemas.openxmlformats.org/officeDocument/2006/docPropsVTypes">
  <Template>Normal.dotm</Template>
  <TotalTime>2</TotalTime>
  <Pages>3</Pages>
  <Words>805</Words>
  <Characters>4430</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5225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Teresa Cardenas</dc:creator>
  <cp:lastModifiedBy>Esther Amor Gómez</cp:lastModifiedBy>
  <cp:revision>5</cp:revision>
  <dcterms:created xsi:type="dcterms:W3CDTF">2022-11-07T13:48:00Z</dcterms:created>
  <dcterms:modified xsi:type="dcterms:W3CDTF">2022-11-07T16:08:00Z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0x010100F023E0E965564C4CA123D3A80D0F8DB7</vt:lpwstr>
  </property>
</Properties>
</file>